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740" w:lineRule="atLeast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附件2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Hans"/>
        </w:rPr>
        <w:t>个人鉴定/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Hans"/>
        </w:rPr>
        <w:t>现实情况表现（</w:t>
      </w:r>
      <w:r>
        <w:rPr>
          <w:rFonts w:ascii="方正小标宋_GBK" w:hAnsi="方正小标宋_GBK" w:eastAsia="方正小标宋_GBK" w:cs="方正小标宋_GBK"/>
          <w:color w:val="333333"/>
          <w:sz w:val="44"/>
          <w:szCs w:val="44"/>
        </w:rPr>
        <w:t>参考模板）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880" w:firstLineChars="200"/>
        <w:jc w:val="both"/>
        <w:rPr>
          <w:rFonts w:ascii="微软雅黑" w:hAnsi="微软雅黑" w:eastAsia="微软雅黑" w:cs="微软雅黑"/>
          <w:color w:val="333333"/>
          <w:sz w:val="44"/>
          <w:szCs w:val="44"/>
        </w:rPr>
      </w:pP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一、个人基本情况：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包括姓名（曾用名）</w:t>
      </w:r>
      <w:bookmarkStart w:id="0" w:name="_GoBack"/>
      <w:bookmarkEnd w:id="0"/>
      <w:r>
        <w:rPr>
          <w:rFonts w:ascii="仿宋_GB2312" w:hAnsi="微软雅黑" w:eastAsia="仿宋_GB2312" w:cs="仿宋_GB2312"/>
          <w:color w:val="333333"/>
          <w:sz w:val="32"/>
          <w:szCs w:val="32"/>
        </w:rPr>
        <w:t>、性别、民族、籍贯、出生年月、文化程度、入党时间、参加工作时间（或毕业时间）、专业技术职务、身心健康状况等。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二、学习工作表现：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主要写明从高中以来的学校、学习、工作经历以及表现情况。格式：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XX年X月---- XX年X月，在      院校（单位）上学（或工作），（证明人：       ）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XX年X月---- XX年X月，在      院校（单位）上学（或工作），（证明人：       ）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XX年X月---- XX年X月，在      院校（单位）上学（或工作），（证明人：       ）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表现情况：…… 在大学期间有无休学、留级等情况。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（…… 在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工作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期间有无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违法乱纪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等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不良情况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情况）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三、思想政治表现：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主要包括拥护党的路线、方针、政策等情况。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四、有无不良表现：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主要包括遵纪守法和遵守社会公德、家庭美德等情况，有无违法违纪、参与“法轮功”邪教、违反职业道德等不适合从事教师工作的情形。</w:t>
      </w:r>
    </w:p>
    <w:p>
      <w:pPr>
        <w:pStyle w:val="2"/>
        <w:widowControl/>
        <w:numPr>
          <w:ilvl w:val="0"/>
          <w:numId w:val="1"/>
        </w:numPr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黑体" w:hAnsi="宋体" w:eastAsia="黑体" w:cs="黑体"/>
          <w:color w:val="333333"/>
          <w:sz w:val="32"/>
          <w:szCs w:val="32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综合评价</w:t>
      </w:r>
      <w:r>
        <w:rPr>
          <w:rFonts w:hint="eastAsia" w:ascii="黑体" w:hAnsi="宋体" w:eastAsia="黑体" w:cs="黑体"/>
          <w:color w:val="333333"/>
          <w:sz w:val="32"/>
          <w:szCs w:val="32"/>
          <w:lang w:eastAsia="zh-CN"/>
        </w:rPr>
        <w:t>：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以归纳、概括的语言进行综合评价。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right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单位、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村</w:t>
      </w:r>
      <w:r>
        <w:rPr>
          <w:rFonts w:ascii="仿宋_GB2312" w:hAnsi="微软雅黑" w:eastAsia="仿宋_GB2312" w:cs="仿宋_GB2312"/>
          <w:color w:val="333333"/>
          <w:sz w:val="32"/>
          <w:szCs w:val="32"/>
          <w:lang w:eastAsia="zh-Hans"/>
        </w:rPr>
        <w:t>（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居</w:t>
      </w:r>
      <w:r>
        <w:rPr>
          <w:rFonts w:ascii="仿宋_GB2312" w:hAnsi="微软雅黑" w:eastAsia="仿宋_GB2312" w:cs="仿宋_GB2312"/>
          <w:color w:val="333333"/>
          <w:sz w:val="32"/>
          <w:szCs w:val="32"/>
          <w:lang w:eastAsia="zh-Hans"/>
        </w:rPr>
        <w:t>）</w:t>
      </w:r>
      <w:r>
        <w:rPr>
          <w:rFonts w:hint="eastAsia" w:ascii="仿宋_GB2312" w:hAnsi="微软雅黑" w:eastAsia="仿宋_GB2312" w:cs="仿宋_GB2312"/>
          <w:color w:val="333333"/>
          <w:sz w:val="32"/>
          <w:szCs w:val="32"/>
          <w:lang w:eastAsia="zh-Hans"/>
        </w:rPr>
        <w:t>委会</w:t>
      </w:r>
      <w:r>
        <w:rPr>
          <w:rFonts w:ascii="仿宋_GB2312" w:hAnsi="微软雅黑" w:eastAsia="仿宋_GB2312" w:cs="仿宋_GB2312"/>
          <w:color w:val="333333"/>
          <w:sz w:val="32"/>
          <w:szCs w:val="32"/>
        </w:rPr>
        <w:t>或学院（系）：（盖章）</w:t>
      </w:r>
    </w:p>
    <w:p>
      <w:pPr>
        <w:pStyle w:val="2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right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                    　　    年　月  日   </w:t>
      </w:r>
    </w:p>
    <w:p>
      <w:pPr>
        <w:pStyle w:val="2"/>
        <w:widowControl/>
        <w:spacing w:beforeAutospacing="0" w:afterAutospacing="0" w:line="700" w:lineRule="atLeast"/>
        <w:ind w:firstLine="860"/>
        <w:jc w:val="center"/>
        <w:rPr>
          <w:rFonts w:ascii="仿宋_GB2312" w:hAnsi="微软雅黑" w:eastAsia="仿宋_GB2312" w:cs="仿宋_GB2312"/>
          <w:color w:val="333333"/>
          <w:sz w:val="32"/>
          <w:szCs w:val="32"/>
        </w:rPr>
      </w:pPr>
    </w:p>
    <w:p>
      <w:pPr>
        <w:pStyle w:val="2"/>
        <w:widowControl/>
        <w:spacing w:beforeAutospacing="0" w:afterAutospacing="0" w:line="700" w:lineRule="atLeast"/>
        <w:ind w:firstLine="860"/>
        <w:jc w:val="center"/>
      </w:pPr>
      <w:r>
        <w:rPr>
          <w:rFonts w:ascii="仿宋_GB2312" w:hAnsi="微软雅黑" w:eastAsia="仿宋_GB2312" w:cs="仿宋_GB2312"/>
          <w:color w:val="333333"/>
          <w:sz w:val="32"/>
          <w:szCs w:val="32"/>
        </w:rPr>
        <w:t>（联系电话：                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C9717"/>
    <w:multiLevelType w:val="singleLevel"/>
    <w:tmpl w:val="62FC9717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ODg0ZDIwMWJmMWU1ZDJiMDI4ZjcwMDYzZGJiNzAifQ=="/>
  </w:docVars>
  <w:rsids>
    <w:rsidRoot w:val="4F0B3134"/>
    <w:rsid w:val="0BDF7A8B"/>
    <w:rsid w:val="4F0B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2023-07-05T14:24:00Z</dcterms:created>
  <dc:creator>莲莲</dc:creator>
  <cp:lastModifiedBy>艾琳</cp:lastModifiedBy>
  <dcterms:modified xsi:type="dcterms:W3CDTF">2023-08-23T08:35:40Z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344873F4C4AE4EFF93E92830014A5D5A_11</vt:lpwstr>
  </property>
</Properties>
</file>